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A22367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>PROGETTO ANIMAZIONE ALLA LETTURA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</w:p>
    <w:p w:rsidR="00C70FA5" w:rsidRDefault="00606390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317891">
        <w:rPr>
          <w:rFonts w:cs="Tahoma"/>
          <w:b/>
          <w:sz w:val="20"/>
          <w:szCs w:val="20"/>
        </w:rPr>
        <w:t>31266D9F9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35</cp:revision>
  <cp:lastPrinted>2015-11-17T17:49:00Z</cp:lastPrinted>
  <dcterms:created xsi:type="dcterms:W3CDTF">2016-11-24T14:59:00Z</dcterms:created>
  <dcterms:modified xsi:type="dcterms:W3CDTF">2018-12-20T09:52:00Z</dcterms:modified>
</cp:coreProperties>
</file>